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0D57B86C"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2759D2">
        <w:rPr>
          <w:rFonts w:cs="Arial"/>
          <w:b/>
          <w:sz w:val="24"/>
          <w:lang w:val="en-GB"/>
        </w:rPr>
        <w:t>Meeting #96</w:t>
      </w:r>
      <w:r w:rsidR="0078042F">
        <w:rPr>
          <w:rFonts w:cs="Arial"/>
          <w:b/>
          <w:sz w:val="24"/>
          <w:lang w:val="en-GB"/>
        </w:rPr>
        <w:t>BIS</w:t>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F5600A" w:rsidRPr="00F5600A">
        <w:rPr>
          <w:rFonts w:cs="Arial"/>
          <w:b/>
          <w:sz w:val="24"/>
          <w:lang w:val="en-GB"/>
        </w:rPr>
        <w:t>R1-1905260</w:t>
      </w:r>
    </w:p>
    <w:p w14:paraId="24C8009F" w14:textId="38A0C755" w:rsidR="00EA743A" w:rsidRPr="00EA743A" w:rsidRDefault="0078042F" w:rsidP="00EA743A">
      <w:pPr>
        <w:tabs>
          <w:tab w:val="left" w:pos="567"/>
        </w:tabs>
        <w:rPr>
          <w:rStyle w:val="apple-style-span"/>
          <w:rFonts w:cs="Arial"/>
          <w:b/>
          <w:sz w:val="16"/>
          <w:szCs w:val="16"/>
        </w:rPr>
      </w:pPr>
      <w:r>
        <w:rPr>
          <w:rFonts w:cs="Arial"/>
          <w:b/>
          <w:sz w:val="24"/>
          <w:lang w:val="en-GB"/>
        </w:rPr>
        <w:t>Xi’an</w:t>
      </w:r>
      <w:r w:rsidR="00637D76" w:rsidRPr="00637D76">
        <w:rPr>
          <w:rFonts w:cs="Arial"/>
          <w:b/>
          <w:sz w:val="24"/>
          <w:lang w:val="en-GB"/>
        </w:rPr>
        <w:t>,</w:t>
      </w:r>
      <w:r w:rsidR="002759D2">
        <w:rPr>
          <w:rFonts w:cs="Arial"/>
          <w:b/>
          <w:sz w:val="24"/>
          <w:lang w:val="en-GB"/>
        </w:rPr>
        <w:t xml:space="preserve"> </w:t>
      </w:r>
      <w:r>
        <w:rPr>
          <w:rFonts w:cs="Arial"/>
          <w:b/>
          <w:sz w:val="24"/>
          <w:lang w:val="en-GB"/>
        </w:rPr>
        <w:t>P. R. China, April</w:t>
      </w:r>
      <w:r w:rsidR="002759D2">
        <w:rPr>
          <w:rFonts w:cs="Arial"/>
          <w:b/>
          <w:sz w:val="24"/>
          <w:lang w:val="en-GB"/>
        </w:rPr>
        <w:t xml:space="preserve"> </w:t>
      </w:r>
      <w:r>
        <w:rPr>
          <w:rFonts w:cs="Arial"/>
          <w:b/>
          <w:sz w:val="24"/>
          <w:lang w:val="en-GB"/>
        </w:rPr>
        <w:t>8</w:t>
      </w:r>
      <w:r w:rsidRPr="0078042F">
        <w:rPr>
          <w:rFonts w:cs="Arial"/>
          <w:b/>
          <w:sz w:val="24"/>
          <w:vertAlign w:val="superscript"/>
          <w:lang w:val="en-GB"/>
        </w:rPr>
        <w:t>th</w:t>
      </w:r>
      <w:r w:rsidR="00637D76" w:rsidRPr="00637D76">
        <w:rPr>
          <w:rFonts w:cs="Arial"/>
          <w:b/>
          <w:sz w:val="24"/>
          <w:lang w:val="en-GB"/>
        </w:rPr>
        <w:t xml:space="preserve"> – </w:t>
      </w:r>
      <w:r>
        <w:rPr>
          <w:rFonts w:cs="Arial"/>
          <w:b/>
          <w:sz w:val="24"/>
          <w:lang w:val="en-GB"/>
        </w:rPr>
        <w:t>12</w:t>
      </w:r>
      <w:r w:rsidRPr="0078042F">
        <w:rPr>
          <w:rFonts w:cs="Arial"/>
          <w:b/>
          <w:sz w:val="24"/>
          <w:vertAlign w:val="superscript"/>
          <w:lang w:val="en-GB"/>
        </w:rPr>
        <w:t>th</w:t>
      </w:r>
      <w:r w:rsidR="00637D76" w:rsidRPr="00637D76">
        <w:rPr>
          <w:rFonts w:cs="Arial"/>
          <w:b/>
          <w:sz w:val="24"/>
          <w:lang w:val="en-GB"/>
        </w:rPr>
        <w:t>, 2019</w:t>
      </w:r>
    </w:p>
    <w:p w14:paraId="27CC8F42" w14:textId="75E6117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774275">
        <w:rPr>
          <w:b/>
          <w:sz w:val="24"/>
          <w:szCs w:val="24"/>
        </w:rPr>
        <w:t>5</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4C927F0A"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74275" w:rsidRPr="00774275">
        <w:rPr>
          <w:b/>
          <w:sz w:val="24"/>
          <w:szCs w:val="24"/>
        </w:rPr>
        <w:t>Wideband Operation for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302DFE69"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January RAN1 ad hoc meeting, several agreements were reached on </w:t>
      </w:r>
      <w:r w:rsidR="00774275">
        <w:rPr>
          <w:rFonts w:ascii="Calibri" w:hAnsi="Calibri"/>
        </w:rPr>
        <w:t>wideband operation</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6F85C1FB" w14:textId="77777777" w:rsidR="00774275" w:rsidRPr="001243DE" w:rsidRDefault="00774275" w:rsidP="00774275">
      <w:pPr>
        <w:rPr>
          <w:rFonts w:cs="Times"/>
          <w:lang w:eastAsia="x-none"/>
        </w:rPr>
      </w:pPr>
      <w:r w:rsidRPr="001243DE">
        <w:rPr>
          <w:rFonts w:cs="Times"/>
          <w:highlight w:val="green"/>
          <w:lang w:eastAsia="x-none"/>
        </w:rPr>
        <w:t>Agreement:</w:t>
      </w:r>
    </w:p>
    <w:p w14:paraId="796FB117" w14:textId="77777777" w:rsidR="00774275" w:rsidRPr="001243DE" w:rsidRDefault="00774275" w:rsidP="00774275">
      <w:pPr>
        <w:numPr>
          <w:ilvl w:val="0"/>
          <w:numId w:val="43"/>
        </w:numPr>
        <w:spacing w:before="0" w:after="0"/>
        <w:jc w:val="left"/>
        <w:rPr>
          <w:rFonts w:cs="Times"/>
          <w:lang w:eastAsia="x-none"/>
        </w:rPr>
      </w:pPr>
      <w:r w:rsidRPr="001243DE">
        <w:rPr>
          <w:rFonts w:cs="Times"/>
          <w:lang w:eastAsia="x-none"/>
        </w:rPr>
        <w:t>For wideband operation in DL with a single serving cell operation within a carrier with bandwidth larger than 20 MHz</w:t>
      </w:r>
    </w:p>
    <w:p w14:paraId="4CE9C9BF" w14:textId="77777777" w:rsidR="00774275" w:rsidRPr="001243DE" w:rsidRDefault="00774275" w:rsidP="00774275">
      <w:pPr>
        <w:numPr>
          <w:ilvl w:val="1"/>
          <w:numId w:val="43"/>
        </w:numPr>
        <w:spacing w:before="0" w:after="0"/>
        <w:jc w:val="left"/>
        <w:rPr>
          <w:rFonts w:cs="Times"/>
          <w:lang w:eastAsia="x-none"/>
        </w:rPr>
      </w:pPr>
      <w:r w:rsidRPr="001243DE">
        <w:rPr>
          <w:rFonts w:cs="Times"/>
          <w:lang w:eastAsia="x-none"/>
        </w:rPr>
        <w:t>Multiple BWPs can be configured, single BWP activated, gNB may transmit PDSCH on parts or whole of single active BWP where CCA is successful at gNB (i.e., option 2 and 3 from previous agreement)</w:t>
      </w:r>
    </w:p>
    <w:p w14:paraId="3FED911C" w14:textId="77777777" w:rsidR="00774275" w:rsidRPr="001243DE" w:rsidRDefault="00774275" w:rsidP="00774275">
      <w:pPr>
        <w:numPr>
          <w:ilvl w:val="2"/>
          <w:numId w:val="43"/>
        </w:numPr>
        <w:spacing w:before="0" w:after="0"/>
        <w:jc w:val="left"/>
        <w:rPr>
          <w:rFonts w:cs="Times"/>
          <w:lang w:eastAsia="x-none"/>
        </w:rPr>
      </w:pPr>
      <w:r w:rsidRPr="001243DE">
        <w:rPr>
          <w:rFonts w:cs="Times"/>
          <w:lang w:eastAsia="x-none"/>
        </w:rPr>
        <w:t xml:space="preserve">FFS: Restrictions on supportable gaps and combinations of gaps between discontiguous blocks where </w:t>
      </w:r>
    </w:p>
    <w:p w14:paraId="17E4A828" w14:textId="77777777" w:rsidR="00774275" w:rsidRPr="001243DE" w:rsidRDefault="00774275" w:rsidP="00774275">
      <w:pPr>
        <w:numPr>
          <w:ilvl w:val="3"/>
          <w:numId w:val="43"/>
        </w:numPr>
        <w:spacing w:before="0" w:after="0"/>
        <w:jc w:val="left"/>
        <w:rPr>
          <w:rFonts w:cs="Times"/>
          <w:lang w:eastAsia="x-none"/>
        </w:rPr>
      </w:pPr>
      <w:r w:rsidRPr="001243DE">
        <w:rPr>
          <w:rFonts w:cs="Times"/>
          <w:lang w:eastAsia="x-none"/>
        </w:rPr>
        <w:t>each block spans contiguous (one or) multiple successful LBT sub-bands</w:t>
      </w:r>
    </w:p>
    <w:p w14:paraId="3A13B6DC" w14:textId="77777777" w:rsidR="00774275" w:rsidRPr="001243DE" w:rsidRDefault="00774275" w:rsidP="00774275">
      <w:pPr>
        <w:numPr>
          <w:ilvl w:val="3"/>
          <w:numId w:val="43"/>
        </w:numPr>
        <w:spacing w:before="0" w:after="0"/>
        <w:jc w:val="left"/>
        <w:rPr>
          <w:rFonts w:cs="Times"/>
          <w:lang w:eastAsia="x-none"/>
        </w:rPr>
      </w:pPr>
      <w:r w:rsidRPr="001243DE">
        <w:rPr>
          <w:rFonts w:cs="Times"/>
          <w:lang w:eastAsia="x-none"/>
        </w:rPr>
        <w:t>each gap spans one or multiple contiguous unsuccessful LBT sub-bands</w:t>
      </w:r>
    </w:p>
    <w:p w14:paraId="215AF5D5" w14:textId="77777777" w:rsidR="00774275" w:rsidRPr="001243DE" w:rsidRDefault="00774275" w:rsidP="00774275">
      <w:pPr>
        <w:numPr>
          <w:ilvl w:val="2"/>
          <w:numId w:val="43"/>
        </w:numPr>
        <w:spacing w:before="0" w:after="0"/>
        <w:jc w:val="left"/>
        <w:rPr>
          <w:rFonts w:cs="Times"/>
          <w:lang w:eastAsia="x-none"/>
        </w:rPr>
      </w:pPr>
      <w:r w:rsidRPr="001243DE">
        <w:rPr>
          <w:rFonts w:cs="Times"/>
          <w:lang w:eastAsia="x-none"/>
        </w:rPr>
        <w:t>FFS: Transmission bandwidth adaptation delay, potentially different delay for e.g., different number of supported gaps, different transmission bandwidths and different positions of the LBT sub-bands where transmissions occur</w:t>
      </w:r>
    </w:p>
    <w:p w14:paraId="3995B309" w14:textId="77777777" w:rsidR="00774275" w:rsidRPr="001243DE" w:rsidRDefault="00774275" w:rsidP="00774275">
      <w:pPr>
        <w:numPr>
          <w:ilvl w:val="2"/>
          <w:numId w:val="43"/>
        </w:numPr>
        <w:spacing w:before="0" w:after="0"/>
        <w:jc w:val="left"/>
        <w:rPr>
          <w:rFonts w:cs="Times"/>
          <w:lang w:eastAsia="x-none"/>
        </w:rPr>
      </w:pPr>
      <w:r w:rsidRPr="001243DE">
        <w:rPr>
          <w:rFonts w:cs="Times"/>
          <w:lang w:eastAsia="x-none"/>
        </w:rPr>
        <w:t>FFS: Limit on the occupied LBT sub-bands due to regulation and coexistence considerations (not intended to imply that regulation and coexistence considerations will not be addressed)</w:t>
      </w:r>
    </w:p>
    <w:p w14:paraId="3F024520" w14:textId="77777777" w:rsidR="00774275" w:rsidRPr="001243DE" w:rsidRDefault="00774275" w:rsidP="00774275">
      <w:pPr>
        <w:numPr>
          <w:ilvl w:val="2"/>
          <w:numId w:val="43"/>
        </w:numPr>
        <w:spacing w:before="0" w:after="0"/>
        <w:jc w:val="left"/>
        <w:rPr>
          <w:rFonts w:cs="Times"/>
          <w:lang w:eastAsia="x-none"/>
        </w:rPr>
      </w:pPr>
      <w:r w:rsidRPr="001243DE">
        <w:rPr>
          <w:rFonts w:cs="Times"/>
          <w:lang w:eastAsia="x-none"/>
        </w:rPr>
        <w:t>FFS: Whether/how to indicate gNB’s transmitted LBT sub-bands</w:t>
      </w:r>
    </w:p>
    <w:p w14:paraId="5522A2D5" w14:textId="77777777" w:rsidR="00774275" w:rsidRPr="001243DE" w:rsidRDefault="00774275" w:rsidP="00774275">
      <w:pPr>
        <w:numPr>
          <w:ilvl w:val="2"/>
          <w:numId w:val="43"/>
        </w:numPr>
        <w:spacing w:before="0" w:after="0"/>
        <w:jc w:val="left"/>
        <w:rPr>
          <w:rFonts w:cs="Times"/>
          <w:lang w:eastAsia="x-none"/>
        </w:rPr>
      </w:pPr>
      <w:r w:rsidRPr="001243DE">
        <w:rPr>
          <w:rFonts w:cs="Times"/>
          <w:lang w:eastAsia="x-none"/>
        </w:rPr>
        <w:t>FFS: Enhancements to PDCCH/PDSCH configuration/transmission for the parts of BWP where gNB does not transmit due to CCA failure</w:t>
      </w:r>
    </w:p>
    <w:p w14:paraId="2CCDA6CA" w14:textId="77777777" w:rsidR="00774275" w:rsidRPr="001243DE" w:rsidRDefault="00774275" w:rsidP="00774275">
      <w:pPr>
        <w:numPr>
          <w:ilvl w:val="0"/>
          <w:numId w:val="43"/>
        </w:numPr>
        <w:spacing w:before="0" w:after="0"/>
        <w:jc w:val="left"/>
        <w:rPr>
          <w:rFonts w:cs="Times"/>
          <w:lang w:eastAsia="x-none"/>
        </w:rPr>
      </w:pPr>
      <w:r w:rsidRPr="001243DE">
        <w:rPr>
          <w:rFonts w:cs="Times"/>
          <w:lang w:eastAsia="x-none"/>
        </w:rPr>
        <w:t>Send LS to RAN4 to inform above decision with the description that RAN1 requires RAN4’s feedback on the first three FFS parts in addition to what was requested in earlier LSs.</w:t>
      </w:r>
    </w:p>
    <w:p w14:paraId="3662AECD" w14:textId="77777777" w:rsidR="00774275" w:rsidRPr="001243DE" w:rsidRDefault="00774275" w:rsidP="00774275">
      <w:pPr>
        <w:rPr>
          <w:rFonts w:cs="Times"/>
          <w:lang w:eastAsia="x-none"/>
        </w:rPr>
      </w:pPr>
    </w:p>
    <w:p w14:paraId="02D8BC2D" w14:textId="77777777" w:rsidR="00774275" w:rsidRPr="001243DE" w:rsidRDefault="00774275" w:rsidP="00774275">
      <w:pPr>
        <w:rPr>
          <w:rFonts w:cs="Times"/>
          <w:lang w:eastAsia="x-none"/>
        </w:rPr>
      </w:pPr>
      <w:r w:rsidRPr="001243DE">
        <w:rPr>
          <w:rFonts w:cs="Times"/>
          <w:highlight w:val="green"/>
          <w:lang w:eastAsia="x-none"/>
        </w:rPr>
        <w:t>Agreement:</w:t>
      </w:r>
    </w:p>
    <w:p w14:paraId="4FB7CBAF" w14:textId="77777777" w:rsidR="00774275" w:rsidRPr="001243DE" w:rsidRDefault="00774275" w:rsidP="00774275">
      <w:pPr>
        <w:rPr>
          <w:rFonts w:cs="Times"/>
          <w:lang w:eastAsia="x-none"/>
        </w:rPr>
      </w:pPr>
      <w:r w:rsidRPr="001243DE">
        <w:rPr>
          <w:rFonts w:cs="Times"/>
          <w:lang w:eastAsia="x-none"/>
        </w:rPr>
        <w:t>Operation with multiple active BWPs for a carrier on unlicensed bands is not supported for DL or UL at least in Rel-16 NR-U WI.</w:t>
      </w:r>
    </w:p>
    <w:p w14:paraId="590DE166" w14:textId="77777777" w:rsidR="00774275" w:rsidRPr="001243DE" w:rsidRDefault="00774275" w:rsidP="00774275">
      <w:pPr>
        <w:numPr>
          <w:ilvl w:val="0"/>
          <w:numId w:val="44"/>
        </w:numPr>
        <w:spacing w:before="0" w:after="0"/>
        <w:jc w:val="left"/>
        <w:rPr>
          <w:rFonts w:cs="Times"/>
          <w:lang w:eastAsia="x-none"/>
        </w:rPr>
      </w:pPr>
      <w:r w:rsidRPr="001243DE">
        <w:rPr>
          <w:rFonts w:cs="Times"/>
          <w:lang w:eastAsia="x-none"/>
        </w:rPr>
        <w:t>Inform RAN2 of this decision</w:t>
      </w:r>
    </w:p>
    <w:p w14:paraId="7002AAA4" w14:textId="77777777" w:rsidR="00017FFD" w:rsidRDefault="00017FFD" w:rsidP="0058113E">
      <w:pPr>
        <w:pStyle w:val="maintext"/>
        <w:ind w:firstLineChars="0" w:firstLine="0"/>
        <w:rPr>
          <w:rFonts w:ascii="Calibri" w:hAnsi="Calibri"/>
        </w:rPr>
      </w:pPr>
    </w:p>
    <w:p w14:paraId="0490B4C3" w14:textId="77777777" w:rsidR="00774275" w:rsidRPr="001243DE" w:rsidRDefault="00774275" w:rsidP="00774275">
      <w:pPr>
        <w:rPr>
          <w:rFonts w:cs="Times"/>
          <w:u w:val="single"/>
          <w:lang w:eastAsia="x-none"/>
        </w:rPr>
      </w:pPr>
      <w:r w:rsidRPr="001243DE">
        <w:rPr>
          <w:rFonts w:cs="Times"/>
          <w:u w:val="single"/>
          <w:lang w:eastAsia="x-none"/>
        </w:rPr>
        <w:t>Conclusion:</w:t>
      </w:r>
    </w:p>
    <w:p w14:paraId="3E735017" w14:textId="77777777" w:rsidR="00774275" w:rsidRPr="001243DE" w:rsidRDefault="00774275" w:rsidP="00774275">
      <w:pPr>
        <w:rPr>
          <w:rFonts w:cs="Times"/>
          <w:lang w:eastAsia="x-none"/>
        </w:rPr>
      </w:pPr>
      <w:r w:rsidRPr="001243DE">
        <w:rPr>
          <w:rFonts w:cs="Times"/>
          <w:lang w:eastAsia="x-none"/>
        </w:rPr>
        <w:t xml:space="preserve">The channel access aspects of wideband operation should be discussed further as part of the channel access discussions </w:t>
      </w:r>
    </w:p>
    <w:p w14:paraId="4CCA3644" w14:textId="77777777" w:rsidR="00774275" w:rsidRDefault="00774275" w:rsidP="0058113E">
      <w:pPr>
        <w:pStyle w:val="maintext"/>
        <w:ind w:firstLineChars="0" w:firstLine="0"/>
        <w:rPr>
          <w:rFonts w:ascii="Calibri" w:hAnsi="Calibri"/>
        </w:rPr>
      </w:pPr>
    </w:p>
    <w:p w14:paraId="5C44AC42" w14:textId="59E7E943" w:rsidR="00F33B94" w:rsidRDefault="00017FFD" w:rsidP="004D58F6">
      <w:pPr>
        <w:pStyle w:val="maintext"/>
        <w:ind w:firstLineChars="0" w:firstLine="0"/>
        <w:rPr>
          <w:rFonts w:ascii="Calibri" w:hAnsi="Calibri"/>
        </w:rPr>
      </w:pPr>
      <w:r>
        <w:rPr>
          <w:rFonts w:ascii="Calibri" w:hAnsi="Calibri"/>
        </w:rPr>
        <w:t xml:space="preserve">This contribution discusses open issues as captured in </w:t>
      </w:r>
      <w:r>
        <w:rPr>
          <w:rFonts w:ascii="Calibri" w:hAnsi="Calibri"/>
        </w:rPr>
        <w:fldChar w:fldCharType="begin"/>
      </w:r>
      <w:r>
        <w:rPr>
          <w:rFonts w:ascii="Calibri" w:hAnsi="Calibri"/>
        </w:rPr>
        <w:instrText xml:space="preserve"> REF _Ref878141 \r \h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r>
        <w:rPr>
          <w:rFonts w:ascii="Calibri" w:hAnsi="Calibri"/>
        </w:rPr>
        <w:t>.</w:t>
      </w:r>
    </w:p>
    <w:p w14:paraId="7E833F0D" w14:textId="45E57555" w:rsidR="00B94AAD" w:rsidRDefault="00E251EC" w:rsidP="00257F9A">
      <w:pPr>
        <w:pStyle w:val="Heading1"/>
      </w:pPr>
      <w:r>
        <w:t xml:space="preserve">NR-U </w:t>
      </w:r>
      <w:r w:rsidR="00C60BA7">
        <w:t>Wideband Operation</w:t>
      </w:r>
    </w:p>
    <w:p w14:paraId="754B61CC" w14:textId="77777777" w:rsidR="00B5169C" w:rsidRDefault="00B5169C" w:rsidP="00A921DD">
      <w:pPr>
        <w:rPr>
          <w:b/>
        </w:rPr>
      </w:pPr>
    </w:p>
    <w:p w14:paraId="40550066" w14:textId="3A2181E2" w:rsidR="00274CFD" w:rsidRPr="00C60BA7" w:rsidRDefault="00274CFD" w:rsidP="00C60BA7"/>
    <w:p w14:paraId="02DDAF7C" w14:textId="5E274E0F" w:rsidR="00F5600A" w:rsidRDefault="00F5600A" w:rsidP="00A03AAC">
      <w:pPr>
        <w:pStyle w:val="Heading2"/>
      </w:pPr>
      <w:r>
        <w:lastRenderedPageBreak/>
        <w:t>COT Indication in Frequency domain</w:t>
      </w:r>
    </w:p>
    <w:p w14:paraId="24EA8685" w14:textId="77777777" w:rsidR="004627B4" w:rsidRDefault="00F5600A" w:rsidP="00F5600A">
      <w:r>
        <w:t>One of the key questions for wideband operation is w</w:t>
      </w:r>
      <w:r w:rsidRPr="00F5600A">
        <w:t>hether/how to indicate gNB’s transmitted LBT sub-bands</w:t>
      </w:r>
      <w:r>
        <w:t xml:space="preserve">. We consider this issue to be similar to DL multicarrier operation in LTE-LAA, where LBT may not succeed on one or more of the SCells. However, no explicit indication of the multicarrier LBT outcome is provided in LTE-LAA, and DL subframe detection is generally performed via CRS. Furthermore, LAA C-PDCCH does not carry frequency-domain COT information. </w:t>
      </w:r>
    </w:p>
    <w:p w14:paraId="0DA1D9A7" w14:textId="54375376" w:rsidR="00F5600A" w:rsidRDefault="00F5600A" w:rsidP="00F5600A">
      <w:r>
        <w:t xml:space="preserve">Carrying over the same principle to NR-U, it is sufficient for the UE to determine the LBT sub-band occupancy in an implicit manner based on DM-RS detection, where the DM-RS can potentially be wideband (Option 3 in </w:t>
      </w:r>
      <w:r>
        <w:fldChar w:fldCharType="begin"/>
      </w:r>
      <w:r>
        <w:instrText xml:space="preserve"> REF _Ref4759825 \r \h </w:instrText>
      </w:r>
      <w:r>
        <w:fldChar w:fldCharType="separate"/>
      </w:r>
      <w:r>
        <w:t>[4]</w:t>
      </w:r>
      <w:r>
        <w:fldChar w:fldCharType="end"/>
      </w:r>
      <w:r>
        <w:t xml:space="preserve">). This avoids the need to duplicate GC-PDCCH with the same payload on every occupied LBT sub-band. </w:t>
      </w:r>
      <w:r w:rsidR="004627B4">
        <w:t xml:space="preserve">In the case of Type B multicarrier access, the GC-PDCCH can be transmitted only on the LBT sub-band that passed Cat-4 LBT. </w:t>
      </w:r>
      <w:r>
        <w:t>The COT information in GC-PDCCH may also include frequency-domain information of the COT, however, it is not mandated for the UE to detect GC-PDCCH to determine the occupied LBT sub-bands.</w:t>
      </w:r>
      <w:r w:rsidR="004627B4">
        <w:t xml:space="preserve"> </w:t>
      </w:r>
    </w:p>
    <w:p w14:paraId="75E66C75" w14:textId="36A6B482" w:rsidR="00F5600A" w:rsidRPr="00F5600A" w:rsidRDefault="00F5600A" w:rsidP="00F5600A">
      <w:pPr>
        <w:rPr>
          <w:b/>
        </w:rPr>
      </w:pPr>
      <w:r w:rsidRPr="00F5600A">
        <w:rPr>
          <w:b/>
        </w:rPr>
        <w:t>Proposal 1: On the DL, the occupied LBT sub-bands are determined by the UE in an implicit manner based on DM-RS detection for each LBT sub-band.</w:t>
      </w:r>
    </w:p>
    <w:p w14:paraId="488F1306" w14:textId="77777777" w:rsidR="00672B47" w:rsidRDefault="00672B47" w:rsidP="00672B47"/>
    <w:p w14:paraId="7C56D3C9" w14:textId="0DF59B30" w:rsidR="00D45F7B" w:rsidRDefault="00D45F7B" w:rsidP="00D45F7B">
      <w:pPr>
        <w:pStyle w:val="Heading2"/>
      </w:pPr>
      <w:r>
        <w:t>UL BWP Design</w:t>
      </w:r>
    </w:p>
    <w:p w14:paraId="39CE8868" w14:textId="5F355397" w:rsidR="00572B57" w:rsidRDefault="004627B4" w:rsidP="00CE01CF">
      <w:r w:rsidRPr="004627B4">
        <w:t>Further design of UL wideband operation is needed, given that multiple active BWP operation is not supported for NR-U</w:t>
      </w:r>
      <w:r>
        <w:t xml:space="preserve">. As pointed out in [4], the previous alternatives need to be refined so as to avoid any UL scheduling restrictions. Specifically, UEs that are scheduled within a portion of the BWP do not need to pass LBT on the entire BWP before transmitting. </w:t>
      </w:r>
    </w:p>
    <w:p w14:paraId="54F1959F" w14:textId="77777777" w:rsidR="004627B4" w:rsidRPr="004627B4" w:rsidRDefault="004627B4" w:rsidP="00CE01CF">
      <w:pPr>
        <w:rPr>
          <w:b/>
        </w:rPr>
      </w:pPr>
      <w:r w:rsidRPr="004627B4">
        <w:rPr>
          <w:b/>
        </w:rPr>
        <w:t>Proposal 2: For wideband operation in UL with a single serving cell operation within a carrier with bandwidth larger than 20 MHz, for the case where UE performs CCA before UL transmission:</w:t>
      </w:r>
    </w:p>
    <w:p w14:paraId="4B0090A8" w14:textId="23717D7C" w:rsidR="004627B4" w:rsidRPr="004627B4" w:rsidRDefault="004627B4" w:rsidP="004627B4">
      <w:pPr>
        <w:pStyle w:val="ListParagraph"/>
        <w:numPr>
          <w:ilvl w:val="0"/>
          <w:numId w:val="44"/>
        </w:numPr>
        <w:rPr>
          <w:b/>
        </w:rPr>
      </w:pPr>
      <w:r w:rsidRPr="004627B4">
        <w:rPr>
          <w:b/>
        </w:rPr>
        <w:t>Multiple BWPs can be configured, single BWP activated, UE transmits whole or part of the PUSCH only over the LBT sub-bands where CCA is successful at UE, among all of LBT sub-bands which include the scheduled PUSCH.</w:t>
      </w:r>
    </w:p>
    <w:p w14:paraId="56D5F566" w14:textId="5E89EBC1" w:rsidR="004627B4" w:rsidRPr="004627B4" w:rsidRDefault="004627B4" w:rsidP="004627B4">
      <w:pPr>
        <w:pStyle w:val="ListParagraph"/>
        <w:numPr>
          <w:ilvl w:val="1"/>
          <w:numId w:val="44"/>
        </w:numPr>
        <w:rPr>
          <w:b/>
        </w:rPr>
      </w:pPr>
      <w:r w:rsidRPr="004627B4">
        <w:rPr>
          <w:b/>
        </w:rPr>
        <w:t>FFS on the restriction on the transmitted PUSCH resource e.g., PUSCH transmission spanning only contiguous LBT sub-bands</w:t>
      </w:r>
    </w:p>
    <w:p w14:paraId="6FBA6B8C" w14:textId="77777777" w:rsidR="004627B4" w:rsidRPr="004627B4" w:rsidRDefault="004627B4" w:rsidP="00CE01CF"/>
    <w:p w14:paraId="03C89303" w14:textId="13AE4948" w:rsidR="00D45F7B" w:rsidRDefault="00D45F7B" w:rsidP="00D45F7B">
      <w:pPr>
        <w:pStyle w:val="Heading2"/>
      </w:pPr>
      <w:r>
        <w:t>PDCCH/CORESET</w:t>
      </w:r>
    </w:p>
    <w:p w14:paraId="1C2FAC5C" w14:textId="009F2FB0" w:rsidR="0019008C" w:rsidRDefault="0019008C" w:rsidP="0019008C">
      <w:r>
        <w:t xml:space="preserve">Finally, consider the impact of wideband operation with discontiguous LBT sub-bands on PDCCH/CORESET design. The simplest design would be for each sub-band to be self-contained in terms of CORESET and PDCCH candidates, thereby avoiding the need for dynamic changes in control resources based on LBT outcome. </w:t>
      </w:r>
    </w:p>
    <w:p w14:paraId="376B5C13" w14:textId="4F8C2237" w:rsidR="0019008C" w:rsidRPr="0019008C" w:rsidRDefault="0019008C" w:rsidP="0019008C">
      <w:pPr>
        <w:rPr>
          <w:b/>
        </w:rPr>
      </w:pPr>
      <w:r w:rsidRPr="0019008C">
        <w:rPr>
          <w:b/>
        </w:rPr>
        <w:t>Proposal 3: CORESET is configured to be confined within a LBT sub-band</w:t>
      </w:r>
      <w:r>
        <w:rPr>
          <w:b/>
        </w:rPr>
        <w:t xml:space="preserve"> for wideband operation</w:t>
      </w:r>
      <w:r w:rsidRPr="0019008C">
        <w:rPr>
          <w:b/>
        </w:rPr>
        <w:t xml:space="preserve">. </w:t>
      </w:r>
    </w:p>
    <w:p w14:paraId="2A07AEC5" w14:textId="77777777" w:rsidR="00D45F7B" w:rsidRPr="00A22957" w:rsidRDefault="00D45F7B" w:rsidP="00CE01CF">
      <w:pPr>
        <w:rPr>
          <w:b/>
        </w:rPr>
      </w:pPr>
    </w:p>
    <w:p w14:paraId="1F78EFE1" w14:textId="04B89D57" w:rsidR="003705DD" w:rsidRDefault="003705DD" w:rsidP="00AA62E3">
      <w:pPr>
        <w:pStyle w:val="Heading1"/>
      </w:pPr>
      <w:r>
        <w:t>Summary</w:t>
      </w:r>
    </w:p>
    <w:p w14:paraId="4293B9F9" w14:textId="224F303E" w:rsidR="0053586B" w:rsidRDefault="003705DD" w:rsidP="0053586B">
      <w:r>
        <w:t>In this</w:t>
      </w:r>
      <w:r w:rsidR="00575CB3">
        <w:t xml:space="preserve"> contribution</w:t>
      </w:r>
      <w:r w:rsidR="00877963">
        <w:t xml:space="preserve"> we examined</w:t>
      </w:r>
      <w:r w:rsidR="0067178A">
        <w:t xml:space="preserve"> </w:t>
      </w:r>
      <w:r w:rsidR="00B6030F">
        <w:t>wideband operation</w:t>
      </w:r>
      <w:r w:rsidR="00EE5745">
        <w:t xml:space="preserve"> for NR-U</w:t>
      </w:r>
      <w:r w:rsidR="00575CB3">
        <w:t>. The following proposals ensued.</w:t>
      </w:r>
    </w:p>
    <w:p w14:paraId="6EAE0582" w14:textId="77777777" w:rsidR="0019008C" w:rsidRPr="00F5600A" w:rsidRDefault="0019008C" w:rsidP="0019008C">
      <w:pPr>
        <w:rPr>
          <w:b/>
        </w:rPr>
      </w:pPr>
      <w:r w:rsidRPr="00F5600A">
        <w:rPr>
          <w:b/>
        </w:rPr>
        <w:t>Proposal 1: On the DL, the occupied LBT sub-bands are determined by the UE in an implicit manner based on DM-RS detection for each LBT sub-band.</w:t>
      </w:r>
    </w:p>
    <w:p w14:paraId="36BAD7D2" w14:textId="77777777" w:rsidR="0019008C" w:rsidRPr="004627B4" w:rsidRDefault="0019008C" w:rsidP="0019008C">
      <w:pPr>
        <w:rPr>
          <w:b/>
        </w:rPr>
      </w:pPr>
      <w:r w:rsidRPr="004627B4">
        <w:rPr>
          <w:b/>
        </w:rPr>
        <w:t>Proposal 2: For wideband operation in UL with a single serving cell operation within a carrier with bandwidth larger than 20 MHz, for the case where UE performs CCA before UL transmission:</w:t>
      </w:r>
    </w:p>
    <w:p w14:paraId="38F66C74" w14:textId="77777777" w:rsidR="0019008C" w:rsidRPr="004627B4" w:rsidRDefault="0019008C" w:rsidP="0019008C">
      <w:pPr>
        <w:pStyle w:val="ListParagraph"/>
        <w:numPr>
          <w:ilvl w:val="0"/>
          <w:numId w:val="44"/>
        </w:numPr>
        <w:rPr>
          <w:b/>
        </w:rPr>
      </w:pPr>
      <w:r w:rsidRPr="004627B4">
        <w:rPr>
          <w:b/>
        </w:rPr>
        <w:t>Multiple BWPs can be configured, single BWP activated, UE transmits whole or part of the PUSCH only over the LBT sub-bands where CCA is successful at UE, among all of LBT sub-bands which include the scheduled PUSCH.</w:t>
      </w:r>
    </w:p>
    <w:p w14:paraId="60AB7DD3" w14:textId="77777777" w:rsidR="0019008C" w:rsidRPr="004627B4" w:rsidRDefault="0019008C" w:rsidP="0019008C">
      <w:pPr>
        <w:pStyle w:val="ListParagraph"/>
        <w:numPr>
          <w:ilvl w:val="1"/>
          <w:numId w:val="44"/>
        </w:numPr>
        <w:rPr>
          <w:b/>
        </w:rPr>
      </w:pPr>
      <w:r w:rsidRPr="004627B4">
        <w:rPr>
          <w:b/>
        </w:rPr>
        <w:t>FFS on the restriction on the transmitted PUSCH resource e.g., PUSCH transmission spanning only contiguous LBT sub-bands</w:t>
      </w:r>
    </w:p>
    <w:p w14:paraId="5CADC7F5" w14:textId="77777777" w:rsidR="0019008C" w:rsidRPr="0019008C" w:rsidRDefault="0019008C" w:rsidP="0019008C">
      <w:pPr>
        <w:rPr>
          <w:b/>
        </w:rPr>
      </w:pPr>
      <w:bookmarkStart w:id="2" w:name="_GoBack"/>
      <w:bookmarkEnd w:id="2"/>
      <w:r w:rsidRPr="0019008C">
        <w:rPr>
          <w:b/>
        </w:rPr>
        <w:t>Proposal 3: CORESET is configured to be confined within a LBT sub-band</w:t>
      </w:r>
      <w:r>
        <w:rPr>
          <w:b/>
        </w:rPr>
        <w:t xml:space="preserve"> for wideband operation</w:t>
      </w:r>
      <w:r w:rsidRPr="0019008C">
        <w:rPr>
          <w:b/>
        </w:rPr>
        <w:t xml:space="preserve">. </w:t>
      </w:r>
    </w:p>
    <w:p w14:paraId="08D402D3" w14:textId="77777777" w:rsidR="00877963" w:rsidRDefault="00877963" w:rsidP="0053586B">
      <w:pPr>
        <w:rPr>
          <w:b/>
        </w:rPr>
      </w:pPr>
    </w:p>
    <w:p w14:paraId="6B17445A" w14:textId="1E4EA44E" w:rsidR="00257F9A" w:rsidRDefault="00F67C2E" w:rsidP="00F67C2E">
      <w:pPr>
        <w:pStyle w:val="Heading1"/>
      </w:pPr>
      <w:r>
        <w:lastRenderedPageBreak/>
        <w:t>Reference</w:t>
      </w:r>
      <w:r w:rsidR="00017FFD">
        <w:t>s</w:t>
      </w:r>
    </w:p>
    <w:p w14:paraId="209324DE" w14:textId="70AF120F" w:rsidR="00CE01CF" w:rsidRDefault="00CE01CF" w:rsidP="00CE01CF">
      <w:pPr>
        <w:pStyle w:val="ListParagraph"/>
        <w:numPr>
          <w:ilvl w:val="0"/>
          <w:numId w:val="15"/>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08164B93" w14:textId="3E5F705A" w:rsidR="00017FFD" w:rsidRDefault="00017FFD" w:rsidP="00CE01CF">
      <w:pPr>
        <w:pStyle w:val="ListParagraph"/>
        <w:numPr>
          <w:ilvl w:val="0"/>
          <w:numId w:val="15"/>
        </w:numPr>
        <w:spacing w:before="0" w:after="180"/>
        <w:jc w:val="left"/>
        <w:rPr>
          <w:rFonts w:eastAsia="SimSun"/>
          <w:color w:val="000000"/>
          <w:lang w:eastAsia="zh-CN"/>
        </w:rPr>
      </w:pPr>
      <w:bookmarkStart w:id="3" w:name="_Ref878098"/>
      <w:r>
        <w:rPr>
          <w:rFonts w:eastAsia="SimSun"/>
          <w:color w:val="000000"/>
          <w:lang w:eastAsia="zh-CN"/>
        </w:rPr>
        <w:t>Chairman’s Notes, RAN1#1901 ad hoc, January 2019.</w:t>
      </w:r>
      <w:bookmarkEnd w:id="3"/>
    </w:p>
    <w:p w14:paraId="3300D296" w14:textId="77777777" w:rsidR="00017FFD" w:rsidRDefault="00CE01CF" w:rsidP="009D3E83">
      <w:pPr>
        <w:pStyle w:val="ListParagraph"/>
        <w:numPr>
          <w:ilvl w:val="0"/>
          <w:numId w:val="15"/>
        </w:numPr>
        <w:spacing w:before="0" w:after="180"/>
        <w:jc w:val="left"/>
        <w:rPr>
          <w:rFonts w:eastAsia="SimSun"/>
          <w:color w:val="000000"/>
          <w:lang w:eastAsia="zh-CN"/>
        </w:rPr>
      </w:pPr>
      <w:bookmarkStart w:id="4" w:name="_Ref534795942"/>
      <w:bookmarkStart w:id="5" w:name="_Ref955441"/>
      <w:r w:rsidRPr="00017FFD">
        <w:rPr>
          <w:rFonts w:eastAsia="SimSun"/>
          <w:color w:val="000000"/>
          <w:lang w:eastAsia="zh-CN"/>
        </w:rPr>
        <w:t>TR 38.889</w:t>
      </w:r>
      <w:r w:rsidR="00ED6DB9" w:rsidRPr="00017FFD">
        <w:rPr>
          <w:rFonts w:eastAsia="SimSun"/>
          <w:color w:val="000000"/>
          <w:lang w:eastAsia="zh-CN"/>
        </w:rPr>
        <w:t xml:space="preserve"> v16.0.0</w:t>
      </w:r>
      <w:r w:rsidRPr="00017FFD">
        <w:rPr>
          <w:rFonts w:eastAsia="SimSun"/>
          <w:color w:val="000000"/>
          <w:lang w:eastAsia="zh-CN"/>
        </w:rPr>
        <w:t>,</w:t>
      </w:r>
      <w:bookmarkEnd w:id="4"/>
      <w:r w:rsidR="00ED6DB9" w:rsidRPr="00017FFD">
        <w:rPr>
          <w:rFonts w:eastAsia="SimSun"/>
          <w:color w:val="000000"/>
          <w:lang w:eastAsia="zh-CN"/>
        </w:rPr>
        <w:t xml:space="preserve"> Study on NR-based access to unlicensed spectrum, (Release 16)</w:t>
      </w:r>
      <w:bookmarkEnd w:id="5"/>
      <w:r w:rsidRPr="00017FFD">
        <w:rPr>
          <w:rFonts w:eastAsia="SimSun"/>
          <w:color w:val="000000"/>
          <w:lang w:eastAsia="zh-CN"/>
        </w:rPr>
        <w:t xml:space="preserve"> </w:t>
      </w:r>
    </w:p>
    <w:p w14:paraId="08DB8E72" w14:textId="6CE01B01" w:rsidR="00B17EEB" w:rsidRPr="00017FFD" w:rsidRDefault="00774275" w:rsidP="00774275">
      <w:pPr>
        <w:pStyle w:val="ListParagraph"/>
        <w:numPr>
          <w:ilvl w:val="0"/>
          <w:numId w:val="15"/>
        </w:numPr>
        <w:spacing w:before="0" w:after="180"/>
        <w:jc w:val="left"/>
        <w:rPr>
          <w:rFonts w:eastAsia="SimSun"/>
          <w:color w:val="000000"/>
          <w:lang w:eastAsia="zh-CN"/>
        </w:rPr>
      </w:pPr>
      <w:bookmarkStart w:id="6" w:name="_Ref878141"/>
      <w:bookmarkStart w:id="7" w:name="_Ref4759825"/>
      <w:r w:rsidRPr="00774275">
        <w:rPr>
          <w:rFonts w:eastAsia="SimSun"/>
          <w:color w:val="000000"/>
          <w:lang w:eastAsia="zh-CN"/>
        </w:rPr>
        <w:t>R1-1903595</w:t>
      </w:r>
      <w:r>
        <w:rPr>
          <w:rFonts w:eastAsia="SimSun"/>
          <w:color w:val="000000"/>
          <w:lang w:eastAsia="zh-CN"/>
        </w:rPr>
        <w:t xml:space="preserve">, </w:t>
      </w:r>
      <w:r w:rsidRPr="00774275">
        <w:rPr>
          <w:rFonts w:eastAsia="SimSun"/>
          <w:color w:val="000000"/>
          <w:lang w:eastAsia="zh-CN"/>
        </w:rPr>
        <w:t xml:space="preserve">Summary #2 </w:t>
      </w:r>
      <w:r>
        <w:rPr>
          <w:rFonts w:eastAsia="SimSun"/>
          <w:color w:val="000000"/>
          <w:lang w:eastAsia="zh-CN"/>
        </w:rPr>
        <w:t xml:space="preserve">on wide-band operation for NR-U, </w:t>
      </w:r>
      <w:r w:rsidRPr="00774275">
        <w:rPr>
          <w:rFonts w:eastAsia="SimSun"/>
          <w:color w:val="000000"/>
          <w:lang w:eastAsia="zh-CN"/>
        </w:rPr>
        <w:t>LG Electronic</w:t>
      </w:r>
      <w:bookmarkEnd w:id="6"/>
      <w:r>
        <w:rPr>
          <w:rFonts w:eastAsia="SimSun"/>
          <w:color w:val="000000"/>
          <w:lang w:eastAsia="zh-CN"/>
        </w:rPr>
        <w:t>s</w:t>
      </w:r>
      <w:bookmarkEnd w:id="7"/>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85D72" w14:textId="77777777" w:rsidR="001475FC" w:rsidRDefault="001475FC" w:rsidP="00424124">
      <w:pPr>
        <w:spacing w:before="0" w:after="0"/>
      </w:pPr>
      <w:r>
        <w:separator/>
      </w:r>
    </w:p>
  </w:endnote>
  <w:endnote w:type="continuationSeparator" w:id="0">
    <w:p w14:paraId="7A820C50" w14:textId="77777777" w:rsidR="001475FC" w:rsidRDefault="001475F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08409" w14:textId="77777777" w:rsidR="001475FC" w:rsidRDefault="001475FC" w:rsidP="00424124">
      <w:pPr>
        <w:spacing w:before="0" w:after="0"/>
      </w:pPr>
      <w:r>
        <w:separator/>
      </w:r>
    </w:p>
  </w:footnote>
  <w:footnote w:type="continuationSeparator" w:id="0">
    <w:p w14:paraId="3C93D8BF" w14:textId="77777777" w:rsidR="001475FC" w:rsidRDefault="001475F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E7621C5E"/>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61266"/>
    <w:multiLevelType w:val="hybridMultilevel"/>
    <w:tmpl w:val="1862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8"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2"/>
  </w:num>
  <w:num w:numId="4">
    <w:abstractNumId w:val="2"/>
  </w:num>
  <w:num w:numId="5">
    <w:abstractNumId w:val="40"/>
  </w:num>
  <w:num w:numId="6">
    <w:abstractNumId w:val="37"/>
  </w:num>
  <w:num w:numId="7">
    <w:abstractNumId w:val="4"/>
  </w:num>
  <w:num w:numId="8">
    <w:abstractNumId w:val="15"/>
  </w:num>
  <w:num w:numId="9">
    <w:abstractNumId w:val="39"/>
  </w:num>
  <w:num w:numId="10">
    <w:abstractNumId w:val="12"/>
  </w:num>
  <w:num w:numId="11">
    <w:abstractNumId w:val="11"/>
  </w:num>
  <w:num w:numId="12">
    <w:abstractNumId w:val="18"/>
  </w:num>
  <w:num w:numId="13">
    <w:abstractNumId w:val="24"/>
  </w:num>
  <w:num w:numId="14">
    <w:abstractNumId w:val="30"/>
  </w:num>
  <w:num w:numId="15">
    <w:abstractNumId w:val="6"/>
  </w:num>
  <w:num w:numId="16">
    <w:abstractNumId w:val="20"/>
  </w:num>
  <w:num w:numId="17">
    <w:abstractNumId w:val="32"/>
  </w:num>
  <w:num w:numId="18">
    <w:abstractNumId w:val="32"/>
  </w:num>
  <w:num w:numId="19">
    <w:abstractNumId w:val="22"/>
  </w:num>
  <w:num w:numId="20">
    <w:abstractNumId w:val="13"/>
  </w:num>
  <w:num w:numId="21">
    <w:abstractNumId w:val="1"/>
  </w:num>
  <w:num w:numId="22">
    <w:abstractNumId w:val="31"/>
  </w:num>
  <w:num w:numId="23">
    <w:abstractNumId w:val="34"/>
  </w:num>
  <w:num w:numId="24">
    <w:abstractNumId w:val="41"/>
  </w:num>
  <w:num w:numId="25">
    <w:abstractNumId w:val="14"/>
  </w:num>
  <w:num w:numId="26">
    <w:abstractNumId w:val="21"/>
  </w:num>
  <w:num w:numId="27">
    <w:abstractNumId w:val="10"/>
  </w:num>
  <w:num w:numId="28">
    <w:abstractNumId w:val="0"/>
  </w:num>
  <w:num w:numId="29">
    <w:abstractNumId w:val="17"/>
  </w:num>
  <w:num w:numId="30">
    <w:abstractNumId w:val="23"/>
  </w:num>
  <w:num w:numId="31">
    <w:abstractNumId w:val="26"/>
  </w:num>
  <w:num w:numId="32">
    <w:abstractNumId w:val="19"/>
  </w:num>
  <w:num w:numId="33">
    <w:abstractNumId w:val="33"/>
  </w:num>
  <w:num w:numId="34">
    <w:abstractNumId w:val="28"/>
  </w:num>
  <w:num w:numId="35">
    <w:abstractNumId w:val="36"/>
  </w:num>
  <w:num w:numId="36">
    <w:abstractNumId w:val="9"/>
  </w:num>
  <w:num w:numId="37">
    <w:abstractNumId w:val="29"/>
  </w:num>
  <w:num w:numId="38">
    <w:abstractNumId w:val="16"/>
  </w:num>
  <w:num w:numId="39">
    <w:abstractNumId w:val="5"/>
  </w:num>
  <w:num w:numId="40">
    <w:abstractNumId w:val="38"/>
  </w:num>
  <w:num w:numId="41">
    <w:abstractNumId w:val="27"/>
  </w:num>
  <w:num w:numId="42">
    <w:abstractNumId w:val="7"/>
  </w:num>
  <w:num w:numId="43">
    <w:abstractNumId w:val="35"/>
  </w:num>
  <w:num w:numId="4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076DA"/>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475FC"/>
    <w:rsid w:val="00153793"/>
    <w:rsid w:val="00156D74"/>
    <w:rsid w:val="00167D68"/>
    <w:rsid w:val="00172743"/>
    <w:rsid w:val="00174B69"/>
    <w:rsid w:val="001775C4"/>
    <w:rsid w:val="0018672E"/>
    <w:rsid w:val="0019008C"/>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AC8"/>
    <w:rsid w:val="0066157D"/>
    <w:rsid w:val="0067178A"/>
    <w:rsid w:val="00671A08"/>
    <w:rsid w:val="00672B47"/>
    <w:rsid w:val="0067313E"/>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275"/>
    <w:rsid w:val="00774F2A"/>
    <w:rsid w:val="0078042F"/>
    <w:rsid w:val="00781A50"/>
    <w:rsid w:val="00782B9C"/>
    <w:rsid w:val="00782CDC"/>
    <w:rsid w:val="007839F9"/>
    <w:rsid w:val="00796763"/>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4691B"/>
    <w:rsid w:val="00C47EE0"/>
    <w:rsid w:val="00C53758"/>
    <w:rsid w:val="00C60992"/>
    <w:rsid w:val="00C60BA7"/>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5F7B"/>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600A"/>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EBF5E-20A2-4B16-9F9C-30232852A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9</cp:revision>
  <cp:lastPrinted>2016-02-23T15:51:00Z</cp:lastPrinted>
  <dcterms:created xsi:type="dcterms:W3CDTF">2019-03-27T18:05:00Z</dcterms:created>
  <dcterms:modified xsi:type="dcterms:W3CDTF">2019-03-29T21:40:00Z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